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07780" w14:textId="77777777" w:rsidR="00842F8D" w:rsidRDefault="00842F8D" w:rsidP="00B3584D">
      <w:pPr>
        <w:jc w:val="center"/>
        <w:rPr>
          <w:rFonts w:ascii="Rockwell" w:hAnsi="Rockwell"/>
          <w:b/>
          <w:bCs/>
          <w:sz w:val="24"/>
          <w:szCs w:val="24"/>
        </w:rPr>
      </w:pPr>
    </w:p>
    <w:p w14:paraId="4F93CCE2" w14:textId="6BC81EBF" w:rsidR="0096001E" w:rsidRPr="0096001E" w:rsidRDefault="0096001E" w:rsidP="00B3584D">
      <w:pPr>
        <w:jc w:val="center"/>
        <w:rPr>
          <w:rFonts w:ascii="Rockwell" w:hAnsi="Rockwell"/>
          <w:b/>
          <w:bCs/>
          <w:sz w:val="24"/>
          <w:szCs w:val="24"/>
        </w:rPr>
      </w:pPr>
      <w:r w:rsidRPr="0096001E">
        <w:rPr>
          <w:rFonts w:ascii="Rockwell" w:hAnsi="Rockwell"/>
          <w:b/>
          <w:bCs/>
          <w:sz w:val="24"/>
          <w:szCs w:val="24"/>
        </w:rPr>
        <w:t>POLITICA PER LA PARITÀ DI GENERE</w:t>
      </w:r>
    </w:p>
    <w:p w14:paraId="7427D583" w14:textId="77777777" w:rsidR="0096001E" w:rsidRPr="0096001E" w:rsidRDefault="0096001E" w:rsidP="00B3584D">
      <w:pPr>
        <w:jc w:val="center"/>
        <w:rPr>
          <w:rFonts w:ascii="Rockwell" w:hAnsi="Rockwell"/>
        </w:rPr>
      </w:pPr>
      <w:r w:rsidRPr="0096001E">
        <w:rPr>
          <w:rFonts w:ascii="Rockwell" w:hAnsi="Rockwell"/>
          <w:i/>
          <w:iCs/>
        </w:rPr>
        <w:t>(UNI/</w:t>
      </w:r>
      <w:proofErr w:type="spellStart"/>
      <w:r w:rsidRPr="0096001E">
        <w:rPr>
          <w:rFonts w:ascii="Rockwell" w:hAnsi="Rockwell"/>
          <w:i/>
          <w:iCs/>
        </w:rPr>
        <w:t>PdR</w:t>
      </w:r>
      <w:proofErr w:type="spellEnd"/>
      <w:r w:rsidRPr="0096001E">
        <w:rPr>
          <w:rFonts w:ascii="Rockwell" w:hAnsi="Rockwell"/>
          <w:i/>
          <w:iCs/>
        </w:rPr>
        <w:t xml:space="preserve"> 125:2022)</w:t>
      </w:r>
    </w:p>
    <w:p w14:paraId="5F2E13F4" w14:textId="77777777" w:rsidR="0096001E" w:rsidRDefault="0096001E" w:rsidP="00B3584D">
      <w:pPr>
        <w:jc w:val="both"/>
        <w:rPr>
          <w:rFonts w:ascii="Rockwell" w:hAnsi="Rockwell"/>
        </w:rPr>
      </w:pPr>
    </w:p>
    <w:p w14:paraId="3736F382" w14:textId="7D73D137" w:rsidR="0096001E" w:rsidRPr="0096001E" w:rsidRDefault="0096001E" w:rsidP="00B3584D">
      <w:pPr>
        <w:jc w:val="both"/>
        <w:rPr>
          <w:rFonts w:ascii="Rockwell" w:hAnsi="Rockwell"/>
        </w:rPr>
      </w:pPr>
      <w:r>
        <w:rPr>
          <w:rFonts w:ascii="Rockwell" w:hAnsi="Rockwell"/>
        </w:rPr>
        <w:t>L</w:t>
      </w:r>
      <w:r w:rsidRPr="0096001E">
        <w:rPr>
          <w:rFonts w:ascii="Rockwell" w:hAnsi="Rockwell"/>
        </w:rPr>
        <w:t xml:space="preserve">’Organizzazione adotta la presente </w:t>
      </w:r>
      <w:r w:rsidRPr="0096001E">
        <w:rPr>
          <w:rFonts w:ascii="Rockwell" w:hAnsi="Rockwell"/>
          <w:b/>
          <w:bCs/>
        </w:rPr>
        <w:t>Politica per la Parità di Genere</w:t>
      </w:r>
      <w:r w:rsidRPr="0096001E">
        <w:rPr>
          <w:rFonts w:ascii="Rockwell" w:hAnsi="Rockwell"/>
        </w:rPr>
        <w:t xml:space="preserve"> in conformità alla </w:t>
      </w:r>
      <w:r w:rsidRPr="0096001E">
        <w:rPr>
          <w:rFonts w:ascii="Rockwell" w:hAnsi="Rockwell"/>
          <w:b/>
          <w:bCs/>
        </w:rPr>
        <w:t>UNI/</w:t>
      </w:r>
      <w:proofErr w:type="spellStart"/>
      <w:r w:rsidRPr="0096001E">
        <w:rPr>
          <w:rFonts w:ascii="Rockwell" w:hAnsi="Rockwell"/>
          <w:b/>
          <w:bCs/>
        </w:rPr>
        <w:t>PdR</w:t>
      </w:r>
      <w:proofErr w:type="spellEnd"/>
      <w:r w:rsidRPr="0096001E">
        <w:rPr>
          <w:rFonts w:ascii="Rockwell" w:hAnsi="Rockwell"/>
          <w:b/>
          <w:bCs/>
        </w:rPr>
        <w:t xml:space="preserve"> 125:2022</w:t>
      </w:r>
      <w:r w:rsidRPr="0096001E">
        <w:rPr>
          <w:rFonts w:ascii="Rockwell" w:hAnsi="Rockwell"/>
        </w:rPr>
        <w:t>, con l’obiettivo di garantire pari opportunità, valorizzare le diversità e promuovere un ambiente di lavoro equo, inclusivo e rispettoso della dignità delle persone.</w:t>
      </w:r>
    </w:p>
    <w:p w14:paraId="522891E0" w14:textId="31902FCE" w:rsidR="0096001E" w:rsidRPr="0096001E" w:rsidRDefault="0096001E" w:rsidP="00B3584D">
      <w:pPr>
        <w:jc w:val="both"/>
        <w:rPr>
          <w:rFonts w:ascii="Rockwell" w:hAnsi="Rockwell"/>
        </w:rPr>
      </w:pPr>
      <w:r w:rsidRPr="0096001E">
        <w:rPr>
          <w:rFonts w:ascii="Rockwell" w:hAnsi="Rockwell"/>
        </w:rPr>
        <w:t xml:space="preserve">La Politica rappresenta l’impegno formale </w:t>
      </w:r>
      <w:r w:rsidR="0060307C">
        <w:rPr>
          <w:rFonts w:ascii="Rockwell" w:hAnsi="Rockwell"/>
        </w:rPr>
        <w:t xml:space="preserve">dell’Organizzazione </w:t>
      </w:r>
      <w:r w:rsidRPr="0096001E">
        <w:rPr>
          <w:rFonts w:ascii="Rockwell" w:hAnsi="Rockwell"/>
        </w:rPr>
        <w:t>verso un modello sostenibile e responsabile e costituisce riferimento per tutti i processi aziendali.</w:t>
      </w:r>
    </w:p>
    <w:p w14:paraId="79711B6F" w14:textId="078EEFE4" w:rsidR="0096001E" w:rsidRPr="0096001E" w:rsidRDefault="0096001E" w:rsidP="00B3584D">
      <w:pPr>
        <w:jc w:val="both"/>
        <w:rPr>
          <w:rFonts w:ascii="Rockwell" w:hAnsi="Rockwell"/>
        </w:rPr>
      </w:pPr>
    </w:p>
    <w:p w14:paraId="03366218" w14:textId="77777777" w:rsidR="0096001E" w:rsidRPr="0096001E" w:rsidRDefault="0096001E" w:rsidP="00B3584D">
      <w:pPr>
        <w:jc w:val="both"/>
        <w:rPr>
          <w:rFonts w:ascii="Rockwell" w:hAnsi="Rockwell"/>
          <w:b/>
          <w:bCs/>
        </w:rPr>
      </w:pPr>
      <w:r w:rsidRPr="0096001E">
        <w:rPr>
          <w:rFonts w:ascii="Rockwell" w:hAnsi="Rockwell"/>
          <w:b/>
          <w:bCs/>
        </w:rPr>
        <w:t>Principi</w:t>
      </w:r>
    </w:p>
    <w:p w14:paraId="585DF46E" w14:textId="77777777" w:rsidR="0096001E" w:rsidRPr="0096001E" w:rsidRDefault="0096001E" w:rsidP="00B3584D">
      <w:p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L’Organizzazione si impegna a operare secondo i seguenti principi:</w:t>
      </w:r>
    </w:p>
    <w:p w14:paraId="27770545" w14:textId="3013333A" w:rsidR="0096001E" w:rsidRPr="0096001E" w:rsidRDefault="0096001E" w:rsidP="00B3584D">
      <w:pPr>
        <w:numPr>
          <w:ilvl w:val="0"/>
          <w:numId w:val="25"/>
        </w:numPr>
        <w:jc w:val="both"/>
        <w:rPr>
          <w:rFonts w:ascii="Rockwell" w:hAnsi="Rockwell"/>
        </w:rPr>
      </w:pPr>
      <w:r w:rsidRPr="0096001E">
        <w:rPr>
          <w:rFonts w:ascii="Rockwell" w:hAnsi="Rockwell"/>
          <w:b/>
          <w:bCs/>
        </w:rPr>
        <w:t>Pari opportunità e non discriminazione</w:t>
      </w:r>
      <w:r w:rsidRPr="0096001E">
        <w:rPr>
          <w:rFonts w:ascii="Rockwell" w:hAnsi="Rockwell"/>
        </w:rPr>
        <w:t xml:space="preserve">, in tutte le fasi </w:t>
      </w:r>
      <w:r w:rsidR="00885EE9">
        <w:rPr>
          <w:rFonts w:ascii="Rockwell" w:hAnsi="Rockwell"/>
        </w:rPr>
        <w:t>di gestione del personale</w:t>
      </w:r>
      <w:r w:rsidR="005C0401">
        <w:rPr>
          <w:rFonts w:ascii="Rockwell" w:hAnsi="Rockwell"/>
        </w:rPr>
        <w:t xml:space="preserve">: </w:t>
      </w:r>
      <w:r w:rsidRPr="0096001E">
        <w:rPr>
          <w:rFonts w:ascii="Rockwell" w:hAnsi="Rockwell"/>
        </w:rPr>
        <w:t>selezione, assunzione, gestione della carriera e sviluppo professionale;</w:t>
      </w:r>
    </w:p>
    <w:p w14:paraId="1C11E25D" w14:textId="46EB05BD" w:rsidR="0096001E" w:rsidRPr="0096001E" w:rsidRDefault="0096001E" w:rsidP="00B3584D">
      <w:pPr>
        <w:numPr>
          <w:ilvl w:val="0"/>
          <w:numId w:val="25"/>
        </w:numPr>
        <w:jc w:val="both"/>
        <w:rPr>
          <w:rFonts w:ascii="Rockwell" w:hAnsi="Rockwell"/>
        </w:rPr>
      </w:pPr>
      <w:r w:rsidRPr="0096001E">
        <w:rPr>
          <w:rFonts w:ascii="Rockwell" w:hAnsi="Rockwell"/>
          <w:b/>
          <w:bCs/>
        </w:rPr>
        <w:t>Equità salariale</w:t>
      </w:r>
      <w:r w:rsidRPr="0096001E">
        <w:rPr>
          <w:rFonts w:ascii="Rockwell" w:hAnsi="Rockwell"/>
        </w:rPr>
        <w:t>, garantendo pari trattamento economico a parità di ruolo, responsabilità</w:t>
      </w:r>
      <w:r w:rsidR="005C0401">
        <w:rPr>
          <w:rFonts w:ascii="Rockwell" w:hAnsi="Rockwell"/>
        </w:rPr>
        <w:t xml:space="preserve">, </w:t>
      </w:r>
      <w:r w:rsidRPr="0096001E">
        <w:rPr>
          <w:rFonts w:ascii="Rockwell" w:hAnsi="Rockwell"/>
        </w:rPr>
        <w:t>competenze</w:t>
      </w:r>
      <w:r w:rsidR="005C0401">
        <w:rPr>
          <w:rFonts w:ascii="Rockwell" w:hAnsi="Rockwell"/>
        </w:rPr>
        <w:t xml:space="preserve"> e anzianità</w:t>
      </w:r>
    </w:p>
    <w:p w14:paraId="7525C965" w14:textId="77777777" w:rsidR="0096001E" w:rsidRPr="0096001E" w:rsidRDefault="0096001E" w:rsidP="00B3584D">
      <w:pPr>
        <w:numPr>
          <w:ilvl w:val="0"/>
          <w:numId w:val="25"/>
        </w:numPr>
        <w:jc w:val="both"/>
        <w:rPr>
          <w:rFonts w:ascii="Rockwell" w:hAnsi="Rockwell"/>
        </w:rPr>
      </w:pPr>
      <w:r w:rsidRPr="0096001E">
        <w:rPr>
          <w:rFonts w:ascii="Rockwell" w:hAnsi="Rockwell"/>
          <w:b/>
          <w:bCs/>
        </w:rPr>
        <w:t>Valorizzazione delle diversità ed empowerment femminile</w:t>
      </w:r>
      <w:r w:rsidRPr="0096001E">
        <w:rPr>
          <w:rFonts w:ascii="Rockwell" w:hAnsi="Rockwell"/>
        </w:rPr>
        <w:t>, favorendo la partecipazione e la crescita professionale, anche nei ruoli decisionali;</w:t>
      </w:r>
    </w:p>
    <w:p w14:paraId="45AC3010" w14:textId="77777777" w:rsidR="0096001E" w:rsidRPr="0096001E" w:rsidRDefault="0096001E" w:rsidP="00B3584D">
      <w:pPr>
        <w:numPr>
          <w:ilvl w:val="0"/>
          <w:numId w:val="25"/>
        </w:numPr>
        <w:jc w:val="both"/>
        <w:rPr>
          <w:rFonts w:ascii="Rockwell" w:hAnsi="Rockwell"/>
        </w:rPr>
      </w:pPr>
      <w:r w:rsidRPr="0096001E">
        <w:rPr>
          <w:rFonts w:ascii="Rockwell" w:hAnsi="Rockwell"/>
          <w:b/>
          <w:bCs/>
        </w:rPr>
        <w:t>Tutela della genitorialità e della cura</w:t>
      </w:r>
      <w:r w:rsidRPr="0096001E">
        <w:rPr>
          <w:rFonts w:ascii="Rockwell" w:hAnsi="Rockwell"/>
        </w:rPr>
        <w:t>, sostenendo condizioni che favoriscano l’equilibrio tra vita privata e lavorativa;</w:t>
      </w:r>
    </w:p>
    <w:p w14:paraId="79BC9FC3" w14:textId="77777777" w:rsidR="0096001E" w:rsidRPr="0096001E" w:rsidRDefault="0096001E" w:rsidP="00B3584D">
      <w:pPr>
        <w:numPr>
          <w:ilvl w:val="0"/>
          <w:numId w:val="25"/>
        </w:numPr>
        <w:jc w:val="both"/>
        <w:rPr>
          <w:rFonts w:ascii="Rockwell" w:hAnsi="Rockwell"/>
        </w:rPr>
      </w:pPr>
      <w:r w:rsidRPr="0096001E">
        <w:rPr>
          <w:rFonts w:ascii="Rockwell" w:hAnsi="Rockwell"/>
          <w:b/>
          <w:bCs/>
        </w:rPr>
        <w:t>Conciliazione dei tempi di vita e lavoro (work-life balance)</w:t>
      </w:r>
      <w:r w:rsidRPr="0096001E">
        <w:rPr>
          <w:rFonts w:ascii="Rockwell" w:hAnsi="Rockwell"/>
        </w:rPr>
        <w:t>, attraverso misure organizzative orientate al benessere delle persone;</w:t>
      </w:r>
    </w:p>
    <w:p w14:paraId="544A06C2" w14:textId="77777777" w:rsidR="0096001E" w:rsidRPr="0096001E" w:rsidRDefault="0096001E" w:rsidP="00B3584D">
      <w:pPr>
        <w:numPr>
          <w:ilvl w:val="0"/>
          <w:numId w:val="25"/>
        </w:numPr>
        <w:jc w:val="both"/>
        <w:rPr>
          <w:rFonts w:ascii="Rockwell" w:hAnsi="Rockwell"/>
        </w:rPr>
      </w:pPr>
      <w:r w:rsidRPr="0096001E">
        <w:rPr>
          <w:rFonts w:ascii="Rockwell" w:hAnsi="Rockwell"/>
          <w:b/>
          <w:bCs/>
        </w:rPr>
        <w:t>Rispetto, dignità e sicurezza</w:t>
      </w:r>
      <w:r w:rsidRPr="0096001E">
        <w:rPr>
          <w:rFonts w:ascii="Rockwell" w:hAnsi="Rockwell"/>
        </w:rPr>
        <w:t>, prevenendo e contrastando ogni forma di abuso fisico, verbale o digitale, comprese le molestie nei luoghi di lavoro.</w:t>
      </w:r>
    </w:p>
    <w:p w14:paraId="36F21153" w14:textId="1195B624" w:rsidR="0096001E" w:rsidRPr="0096001E" w:rsidRDefault="0096001E" w:rsidP="00B3584D">
      <w:pPr>
        <w:jc w:val="both"/>
        <w:rPr>
          <w:rFonts w:ascii="Rockwell" w:hAnsi="Rockwell"/>
        </w:rPr>
      </w:pPr>
    </w:p>
    <w:p w14:paraId="7F8F769D" w14:textId="77777777" w:rsidR="0096001E" w:rsidRPr="0096001E" w:rsidRDefault="0096001E" w:rsidP="00B3584D">
      <w:pPr>
        <w:jc w:val="both"/>
        <w:rPr>
          <w:rFonts w:ascii="Rockwell" w:hAnsi="Rockwell"/>
          <w:b/>
          <w:bCs/>
        </w:rPr>
      </w:pPr>
      <w:r w:rsidRPr="0096001E">
        <w:rPr>
          <w:rFonts w:ascii="Rockwell" w:hAnsi="Rockwell"/>
          <w:b/>
          <w:bCs/>
        </w:rPr>
        <w:t>Ambito di applicazione</w:t>
      </w:r>
    </w:p>
    <w:p w14:paraId="16C5DE4A" w14:textId="77777777" w:rsidR="001706A0" w:rsidRDefault="0096001E" w:rsidP="001706A0">
      <w:p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La presente Politica si applica a tutti i processi aziendali e, in particolare</w:t>
      </w:r>
      <w:r w:rsidR="001706A0">
        <w:rPr>
          <w:rFonts w:ascii="Rockwell" w:hAnsi="Rockwell"/>
        </w:rPr>
        <w:t xml:space="preserve"> </w:t>
      </w:r>
      <w:proofErr w:type="gramStart"/>
      <w:r w:rsidR="001706A0">
        <w:rPr>
          <w:rFonts w:ascii="Rockwell" w:hAnsi="Rockwell"/>
        </w:rPr>
        <w:t>a :</w:t>
      </w:r>
      <w:proofErr w:type="gramEnd"/>
      <w:r w:rsidR="001706A0">
        <w:rPr>
          <w:rFonts w:ascii="Rockwell" w:hAnsi="Rockwell"/>
        </w:rPr>
        <w:t xml:space="preserve"> </w:t>
      </w:r>
    </w:p>
    <w:p w14:paraId="7E746EEC" w14:textId="7EBC3EE5" w:rsidR="0096001E" w:rsidRPr="0096001E" w:rsidRDefault="0096001E" w:rsidP="001706A0">
      <w:pPr>
        <w:numPr>
          <w:ilvl w:val="0"/>
          <w:numId w:val="26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selezione e assunzione;</w:t>
      </w:r>
    </w:p>
    <w:p w14:paraId="53D04D6B" w14:textId="77777777" w:rsidR="0096001E" w:rsidRPr="0096001E" w:rsidRDefault="0096001E" w:rsidP="00B3584D">
      <w:pPr>
        <w:numPr>
          <w:ilvl w:val="0"/>
          <w:numId w:val="26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gestione della carriera;</w:t>
      </w:r>
    </w:p>
    <w:p w14:paraId="7936DB1C" w14:textId="77777777" w:rsidR="0096001E" w:rsidRPr="0096001E" w:rsidRDefault="0096001E" w:rsidP="00B3584D">
      <w:pPr>
        <w:numPr>
          <w:ilvl w:val="0"/>
          <w:numId w:val="26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equità salariale;</w:t>
      </w:r>
    </w:p>
    <w:p w14:paraId="4880A7D3" w14:textId="77777777" w:rsidR="0096001E" w:rsidRPr="0096001E" w:rsidRDefault="0096001E" w:rsidP="00B3584D">
      <w:pPr>
        <w:numPr>
          <w:ilvl w:val="0"/>
          <w:numId w:val="26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genitorialità e cura;</w:t>
      </w:r>
    </w:p>
    <w:p w14:paraId="0AB31DCD" w14:textId="77777777" w:rsidR="0096001E" w:rsidRPr="0096001E" w:rsidRDefault="0096001E" w:rsidP="00B3584D">
      <w:pPr>
        <w:numPr>
          <w:ilvl w:val="0"/>
          <w:numId w:val="26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conciliazione dei tempi di vita e lavoro;</w:t>
      </w:r>
    </w:p>
    <w:p w14:paraId="148AF447" w14:textId="77777777" w:rsidR="0096001E" w:rsidRPr="0096001E" w:rsidRDefault="0096001E" w:rsidP="00B3584D">
      <w:pPr>
        <w:numPr>
          <w:ilvl w:val="0"/>
          <w:numId w:val="26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prevenzione di ogni forma di abuso, molestia o comportamento discriminatorio.</w:t>
      </w:r>
    </w:p>
    <w:p w14:paraId="31CA011D" w14:textId="377936AB" w:rsidR="0096001E" w:rsidRPr="0096001E" w:rsidRDefault="0096001E" w:rsidP="00B3584D">
      <w:pPr>
        <w:jc w:val="both"/>
        <w:rPr>
          <w:rFonts w:ascii="Rockwell" w:hAnsi="Rockwell"/>
        </w:rPr>
      </w:pPr>
    </w:p>
    <w:p w14:paraId="2D998DA7" w14:textId="77777777" w:rsidR="0096001E" w:rsidRPr="0096001E" w:rsidRDefault="0096001E" w:rsidP="00B3584D">
      <w:pPr>
        <w:jc w:val="both"/>
        <w:rPr>
          <w:rFonts w:ascii="Rockwell" w:hAnsi="Rockwell"/>
          <w:b/>
          <w:bCs/>
        </w:rPr>
      </w:pPr>
      <w:r w:rsidRPr="0096001E">
        <w:rPr>
          <w:rFonts w:ascii="Rockwell" w:hAnsi="Rockwell"/>
          <w:b/>
          <w:bCs/>
        </w:rPr>
        <w:t>Impegni della Direzione</w:t>
      </w:r>
    </w:p>
    <w:p w14:paraId="76DC0A85" w14:textId="77777777" w:rsidR="0096001E" w:rsidRPr="0096001E" w:rsidRDefault="0096001E" w:rsidP="00B3584D">
      <w:p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L’Alta Direzione si impegna a:</w:t>
      </w:r>
    </w:p>
    <w:p w14:paraId="728C7BC3" w14:textId="77777777" w:rsidR="0096001E" w:rsidRPr="0096001E" w:rsidRDefault="0096001E" w:rsidP="00B3584D">
      <w:pPr>
        <w:numPr>
          <w:ilvl w:val="0"/>
          <w:numId w:val="27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integrare la parità di genere nei processi decisionali e gestionali;</w:t>
      </w:r>
    </w:p>
    <w:p w14:paraId="1274D3F7" w14:textId="476E4305" w:rsidR="0096001E" w:rsidRPr="0096001E" w:rsidRDefault="0096001E" w:rsidP="00B3584D">
      <w:pPr>
        <w:numPr>
          <w:ilvl w:val="0"/>
          <w:numId w:val="27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assicurare la coerenza della Politica con la strategia aziendale</w:t>
      </w:r>
      <w:r w:rsidR="00D91B51">
        <w:rPr>
          <w:rFonts w:ascii="Rockwell" w:hAnsi="Rockwell"/>
        </w:rPr>
        <w:t xml:space="preserve"> e l’esercizio quotidiano all’attività;</w:t>
      </w:r>
    </w:p>
    <w:p w14:paraId="26F46267" w14:textId="4999730E" w:rsidR="0096001E" w:rsidRPr="0096001E" w:rsidRDefault="0096001E" w:rsidP="00B3584D">
      <w:pPr>
        <w:numPr>
          <w:ilvl w:val="0"/>
          <w:numId w:val="27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 xml:space="preserve">mettere a disposizione risorse adeguate </w:t>
      </w:r>
      <w:proofErr w:type="gramStart"/>
      <w:r w:rsidRPr="0096001E">
        <w:rPr>
          <w:rFonts w:ascii="Rockwell" w:hAnsi="Rockwell"/>
        </w:rPr>
        <w:t>per</w:t>
      </w:r>
      <w:r w:rsidR="001952FC">
        <w:rPr>
          <w:rFonts w:ascii="Rockwell" w:hAnsi="Rockwell"/>
        </w:rPr>
        <w:t xml:space="preserve"> </w:t>
      </w:r>
      <w:r w:rsidRPr="0096001E">
        <w:rPr>
          <w:rFonts w:ascii="Rockwell" w:hAnsi="Rockwell"/>
        </w:rPr>
        <w:t>l’attuazione</w:t>
      </w:r>
      <w:proofErr w:type="gramEnd"/>
      <w:r w:rsidRPr="0096001E">
        <w:rPr>
          <w:rFonts w:ascii="Rockwell" w:hAnsi="Rockwell"/>
        </w:rPr>
        <w:t xml:space="preserve"> e il mantenimento della Politica;</w:t>
      </w:r>
    </w:p>
    <w:p w14:paraId="086FE1B0" w14:textId="77777777" w:rsidR="0096001E" w:rsidRPr="0096001E" w:rsidRDefault="0096001E" w:rsidP="00B3584D">
      <w:pPr>
        <w:numPr>
          <w:ilvl w:val="0"/>
          <w:numId w:val="27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definire obiettivi misurabili e monitorarne il raggiungimento tramite gli indicatori previsti dalla UNI/</w:t>
      </w:r>
      <w:proofErr w:type="spellStart"/>
      <w:r w:rsidRPr="0096001E">
        <w:rPr>
          <w:rFonts w:ascii="Rockwell" w:hAnsi="Rockwell"/>
        </w:rPr>
        <w:t>PdR</w:t>
      </w:r>
      <w:proofErr w:type="spellEnd"/>
      <w:r w:rsidRPr="0096001E">
        <w:rPr>
          <w:rFonts w:ascii="Rockwell" w:hAnsi="Rockwell"/>
        </w:rPr>
        <w:t xml:space="preserve"> 125:2022;</w:t>
      </w:r>
    </w:p>
    <w:p w14:paraId="4731CF5D" w14:textId="77777777" w:rsidR="0096001E" w:rsidRPr="0096001E" w:rsidRDefault="0096001E" w:rsidP="00B3584D">
      <w:pPr>
        <w:numPr>
          <w:ilvl w:val="0"/>
          <w:numId w:val="27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 xml:space="preserve">supportare il </w:t>
      </w:r>
      <w:r w:rsidRPr="0096001E">
        <w:rPr>
          <w:rFonts w:ascii="Rockwell" w:hAnsi="Rockwell"/>
          <w:b/>
          <w:bCs/>
        </w:rPr>
        <w:t>Comitato Guida per la Parità di Genere</w:t>
      </w:r>
      <w:r w:rsidRPr="0096001E">
        <w:rPr>
          <w:rFonts w:ascii="Rockwell" w:hAnsi="Rockwell"/>
        </w:rPr>
        <w:t xml:space="preserve"> nelle attività di attuazione, monitoraggio e miglioramento;</w:t>
      </w:r>
    </w:p>
    <w:p w14:paraId="5CED05FD" w14:textId="77777777" w:rsidR="0096001E" w:rsidRPr="0096001E" w:rsidRDefault="0096001E" w:rsidP="00B3584D">
      <w:pPr>
        <w:numPr>
          <w:ilvl w:val="0"/>
          <w:numId w:val="27"/>
        </w:numPr>
        <w:jc w:val="both"/>
        <w:rPr>
          <w:rFonts w:ascii="Rockwell" w:hAnsi="Rockwell"/>
        </w:rPr>
      </w:pPr>
      <w:r w:rsidRPr="0096001E">
        <w:rPr>
          <w:rFonts w:ascii="Rockwell" w:hAnsi="Rockwell"/>
        </w:rPr>
        <w:t>riesaminare periodicamente la Politica nell’ottica del miglioramento continuo.</w:t>
      </w:r>
    </w:p>
    <w:p w14:paraId="0C0BA7A2" w14:textId="40330710" w:rsidR="0096001E" w:rsidRPr="0096001E" w:rsidRDefault="0096001E" w:rsidP="0096001E">
      <w:pPr>
        <w:jc w:val="both"/>
        <w:rPr>
          <w:rFonts w:ascii="Rockwell" w:hAnsi="Rockwell"/>
        </w:rPr>
      </w:pPr>
    </w:p>
    <w:p w14:paraId="77561598" w14:textId="022544BF" w:rsidR="0096001E" w:rsidRPr="0096001E" w:rsidRDefault="0096001E" w:rsidP="0096001E">
      <w:pPr>
        <w:jc w:val="both"/>
        <w:rPr>
          <w:rFonts w:ascii="Rockwell" w:hAnsi="Rockwell"/>
        </w:rPr>
      </w:pPr>
    </w:p>
    <w:p w14:paraId="611BBBF3" w14:textId="2B325D3F" w:rsidR="0096001E" w:rsidRPr="0096001E" w:rsidRDefault="0096001E" w:rsidP="0096001E">
      <w:pPr>
        <w:jc w:val="both"/>
        <w:rPr>
          <w:rFonts w:ascii="Rockwell" w:hAnsi="Rockwell"/>
        </w:rPr>
      </w:pPr>
      <w:r w:rsidRPr="0096001E">
        <w:rPr>
          <w:rFonts w:ascii="Rockwell" w:hAnsi="Rockwell"/>
        </w:rPr>
        <w:t xml:space="preserve">Data: </w:t>
      </w:r>
      <w:r w:rsidR="00EF1DF0">
        <w:rPr>
          <w:rFonts w:ascii="Rockwell" w:hAnsi="Rockwell"/>
        </w:rPr>
        <w:t>19/11/2025</w:t>
      </w:r>
    </w:p>
    <w:p w14:paraId="7100FE33" w14:textId="77777777" w:rsidR="00B3584D" w:rsidRDefault="00B3584D" w:rsidP="000A7474">
      <w:pPr>
        <w:jc w:val="right"/>
        <w:rPr>
          <w:rFonts w:ascii="Rockwell" w:hAnsi="Rockwell"/>
        </w:rPr>
      </w:pPr>
    </w:p>
    <w:p w14:paraId="1D6452FC" w14:textId="77777777" w:rsidR="00872C0E" w:rsidRDefault="00872C0E" w:rsidP="000A7474">
      <w:pPr>
        <w:jc w:val="right"/>
        <w:rPr>
          <w:rFonts w:ascii="Rockwell" w:hAnsi="Rockwell"/>
        </w:rPr>
      </w:pPr>
    </w:p>
    <w:p w14:paraId="7E1D1EEB" w14:textId="06DBB401" w:rsidR="000A7474" w:rsidRDefault="00872C0E" w:rsidP="000A7474">
      <w:pPr>
        <w:jc w:val="right"/>
        <w:rPr>
          <w:rFonts w:ascii="Rockwell" w:hAnsi="Rockwell"/>
        </w:rPr>
      </w:pPr>
      <w:r>
        <w:rPr>
          <w:rFonts w:ascii="Rockwell" w:hAnsi="Rockwell"/>
        </w:rPr>
        <w:t>L’</w:t>
      </w:r>
      <w:r w:rsidR="000A7474">
        <w:rPr>
          <w:rFonts w:ascii="Rockwell" w:hAnsi="Rockwell"/>
        </w:rPr>
        <w:t>Amministratore Delegato</w:t>
      </w:r>
    </w:p>
    <w:p w14:paraId="4F9BFFBE" w14:textId="77777777" w:rsidR="00872C0E" w:rsidRDefault="00872C0E" w:rsidP="000A7474">
      <w:pPr>
        <w:jc w:val="right"/>
        <w:rPr>
          <w:rFonts w:ascii="Segoe Script" w:hAnsi="Segoe Script"/>
        </w:rPr>
      </w:pPr>
    </w:p>
    <w:p w14:paraId="50DDBCF8" w14:textId="319581A9" w:rsidR="000A7474" w:rsidRPr="00872C0E" w:rsidRDefault="00872C0E" w:rsidP="000A7474">
      <w:pPr>
        <w:jc w:val="right"/>
        <w:rPr>
          <w:rFonts w:ascii="Segoe Script" w:hAnsi="Segoe Script"/>
        </w:rPr>
      </w:pPr>
      <w:r w:rsidRPr="00872C0E">
        <w:rPr>
          <w:rFonts w:ascii="Segoe Script" w:hAnsi="Segoe Script"/>
        </w:rPr>
        <w:t>Matteo Domenico Bosso</w:t>
      </w:r>
    </w:p>
    <w:p w14:paraId="19FE1272" w14:textId="77777777" w:rsidR="00B3584D" w:rsidRDefault="00B3584D" w:rsidP="000A7474">
      <w:pPr>
        <w:jc w:val="right"/>
        <w:rPr>
          <w:rFonts w:ascii="Rockwell" w:hAnsi="Rockwell"/>
        </w:rPr>
      </w:pPr>
    </w:p>
    <w:p w14:paraId="6EE7570F" w14:textId="09954E78" w:rsidR="000A7474" w:rsidRPr="0096001E" w:rsidRDefault="000A7474" w:rsidP="000A7474">
      <w:pPr>
        <w:jc w:val="right"/>
        <w:rPr>
          <w:rFonts w:ascii="Rockwell" w:hAnsi="Rockwell"/>
        </w:rPr>
      </w:pPr>
    </w:p>
    <w:sectPr w:rsidR="000A7474" w:rsidRPr="0096001E" w:rsidSect="007531EB">
      <w:headerReference w:type="first" r:id="rId10"/>
      <w:footerReference w:type="first" r:id="rId11"/>
      <w:pgSz w:w="11907" w:h="16840" w:code="9"/>
      <w:pgMar w:top="1100" w:right="851" w:bottom="567" w:left="851" w:header="720" w:footer="464" w:gutter="0"/>
      <w:pgNumType w:start="1" w:chapStyle="1" w:chapSep="e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74DE" w14:textId="77777777" w:rsidR="00603C38" w:rsidRDefault="00603C38">
      <w:r>
        <w:separator/>
      </w:r>
    </w:p>
  </w:endnote>
  <w:endnote w:type="continuationSeparator" w:id="0">
    <w:p w14:paraId="2D3D5964" w14:textId="77777777" w:rsidR="00603C38" w:rsidRDefault="00603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ockwell">
    <w:altName w:val="Rockwell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29AC" w14:textId="272C1E0B" w:rsidR="00C32A07" w:rsidRPr="00AA3186" w:rsidRDefault="00C32A07" w:rsidP="007531EB">
    <w:pPr>
      <w:pStyle w:val="Pidipagina"/>
      <w:jc w:val="center"/>
      <w:rPr>
        <w:rFonts w:ascii="Rockwell" w:hAnsi="Rockwell"/>
        <w:sz w:val="16"/>
        <w:szCs w:val="16"/>
      </w:rPr>
    </w:pPr>
    <w:r w:rsidRPr="00AA3186">
      <w:rPr>
        <w:rFonts w:ascii="Rockwell" w:hAnsi="Rockwell"/>
        <w:sz w:val="16"/>
        <w:szCs w:val="16"/>
      </w:rPr>
      <w:t>Pagina 1 di 1</w:t>
    </w:r>
  </w:p>
  <w:p w14:paraId="5E86AE96" w14:textId="77777777" w:rsidR="007531EB" w:rsidRPr="00AA3186" w:rsidRDefault="007531EB" w:rsidP="007531EB">
    <w:pPr>
      <w:pStyle w:val="Pidipagina"/>
      <w:jc w:val="center"/>
      <w:rPr>
        <w:rFonts w:ascii="Rockwell" w:hAnsi="Rockwell"/>
        <w:sz w:val="16"/>
        <w:szCs w:val="16"/>
      </w:rPr>
    </w:pPr>
  </w:p>
  <w:p w14:paraId="7FC573E5" w14:textId="77777777" w:rsidR="007531EB" w:rsidRPr="00AA3186" w:rsidRDefault="007531EB" w:rsidP="007531EB">
    <w:pPr>
      <w:pStyle w:val="Pidipagina"/>
      <w:jc w:val="center"/>
      <w:rPr>
        <w:rFonts w:ascii="Rockwell" w:hAnsi="Rockwell"/>
        <w:sz w:val="16"/>
        <w:szCs w:val="16"/>
        <w:lang w:val="it-IT"/>
      </w:rPr>
    </w:pPr>
    <w:r w:rsidRPr="00742045">
      <w:rPr>
        <w:rFonts w:ascii="Rockwell" w:hAnsi="Rockwell"/>
        <w:sz w:val="16"/>
        <w:szCs w:val="16"/>
        <w:lang w:val="it-IT"/>
      </w:rPr>
      <w:t>Sata Holding S.r.l.</w:t>
    </w:r>
    <w:r w:rsidRPr="00AA3186">
      <w:rPr>
        <w:rFonts w:ascii="Rockwell" w:hAnsi="Rockwell"/>
        <w:sz w:val="16"/>
        <w:szCs w:val="16"/>
        <w:lang w:val="it-IT"/>
      </w:rPr>
      <w:t xml:space="preserve">- </w:t>
    </w:r>
    <w:r w:rsidRPr="00742045">
      <w:rPr>
        <w:rFonts w:ascii="Rockwell" w:hAnsi="Rockwell"/>
        <w:sz w:val="16"/>
        <w:szCs w:val="16"/>
        <w:lang w:val="it-IT"/>
      </w:rPr>
      <w:t xml:space="preserve">Strada Alessandria, 13 - 15044 Quargnento (AL) </w:t>
    </w:r>
    <w:r w:rsidRPr="00AA3186">
      <w:rPr>
        <w:rFonts w:ascii="Rockwell" w:hAnsi="Rockwell"/>
        <w:sz w:val="16"/>
        <w:szCs w:val="16"/>
        <w:lang w:val="it-IT"/>
      </w:rPr>
      <w:t xml:space="preserve">- </w:t>
    </w:r>
    <w:r w:rsidRPr="00742045">
      <w:rPr>
        <w:rFonts w:ascii="Rockwell" w:hAnsi="Rockwell"/>
        <w:sz w:val="16"/>
        <w:szCs w:val="16"/>
        <w:lang w:val="it-IT"/>
      </w:rPr>
      <w:t>P.IVA e C.F. 02738410063</w:t>
    </w:r>
  </w:p>
  <w:p w14:paraId="7ACE2662" w14:textId="77777777" w:rsidR="00C32A07" w:rsidRPr="00AA3186" w:rsidRDefault="00C32A07">
    <w:pPr>
      <w:pStyle w:val="Pidipagina"/>
      <w:rPr>
        <w:rFonts w:ascii="Rockwell" w:hAnsi="Rockwel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8733E" w14:textId="77777777" w:rsidR="00603C38" w:rsidRDefault="00603C38">
      <w:r>
        <w:separator/>
      </w:r>
    </w:p>
  </w:footnote>
  <w:footnote w:type="continuationSeparator" w:id="0">
    <w:p w14:paraId="6ADF9F1C" w14:textId="77777777" w:rsidR="00603C38" w:rsidRDefault="00603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CFBAA" w14:textId="1E594693" w:rsidR="00C32A07" w:rsidRDefault="00C32A07">
    <w:pPr>
      <w:pStyle w:val="Intestazione"/>
    </w:pPr>
  </w:p>
  <w:p w14:paraId="47FCB0CD" w14:textId="76A00FE5" w:rsidR="00C32A07" w:rsidRDefault="00862CF7">
    <w:pPr>
      <w:pStyle w:val="Intestazione"/>
    </w:pPr>
    <w:r w:rsidRPr="00862CF7">
      <w:rPr>
        <w:noProof/>
      </w:rPr>
      <w:drawing>
        <wp:anchor distT="0" distB="0" distL="114300" distR="114300" simplePos="0" relativeHeight="251659264" behindDoc="1" locked="0" layoutInCell="1" allowOverlap="1" wp14:anchorId="4CD613CA" wp14:editId="7E6CCFDA">
          <wp:simplePos x="0" y="0"/>
          <wp:positionH relativeFrom="column">
            <wp:posOffset>4763135</wp:posOffset>
          </wp:positionH>
          <wp:positionV relativeFrom="paragraph">
            <wp:posOffset>92710</wp:posOffset>
          </wp:positionV>
          <wp:extent cx="1168400" cy="458470"/>
          <wp:effectExtent l="0" t="0" r="0" b="0"/>
          <wp:wrapTight wrapText="bothSides">
            <wp:wrapPolygon edited="0">
              <wp:start x="0" y="0"/>
              <wp:lineTo x="0" y="20643"/>
              <wp:lineTo x="21130" y="20643"/>
              <wp:lineTo x="21130" y="0"/>
              <wp:lineTo x="0" y="0"/>
            </wp:wrapPolygon>
          </wp:wrapTight>
          <wp:docPr id="562110764" name="Immagine 1" descr="Immagine che contiene Carattere, logo, Elementi grafici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110764" name="Immagine 1" descr="Immagine che contiene Carattere, logo, Elementi grafici, Blu elettric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8400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81237" w:rsidRPr="00881237">
      <w:rPr>
        <w:noProof/>
      </w:rPr>
      <w:drawing>
        <wp:anchor distT="0" distB="0" distL="114300" distR="114300" simplePos="0" relativeHeight="251658240" behindDoc="1" locked="0" layoutInCell="1" allowOverlap="1" wp14:anchorId="086A08D0" wp14:editId="0D16421F">
          <wp:simplePos x="0" y="0"/>
          <wp:positionH relativeFrom="column">
            <wp:posOffset>2573655</wp:posOffset>
          </wp:positionH>
          <wp:positionV relativeFrom="paragraph">
            <wp:posOffset>92710</wp:posOffset>
          </wp:positionV>
          <wp:extent cx="1537970" cy="516255"/>
          <wp:effectExtent l="0" t="0" r="5080" b="0"/>
          <wp:wrapTight wrapText="bothSides">
            <wp:wrapPolygon edited="0">
              <wp:start x="0" y="0"/>
              <wp:lineTo x="0" y="20723"/>
              <wp:lineTo x="21404" y="20723"/>
              <wp:lineTo x="21404" y="0"/>
              <wp:lineTo x="0" y="0"/>
            </wp:wrapPolygon>
          </wp:wrapTight>
          <wp:docPr id="1681726702" name="Immagine 1" descr="Immagine che contiene Carattere, logo, Elementi grafici, simbol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726702" name="Immagine 1" descr="Immagine che contiene Carattere, logo, Elementi grafici, simbolo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7970" cy="516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2A07">
      <w:rPr>
        <w:noProof/>
      </w:rPr>
      <w:drawing>
        <wp:inline distT="0" distB="0" distL="0" distR="0" wp14:anchorId="54315145" wp14:editId="3101D788">
          <wp:extent cx="2158769" cy="704850"/>
          <wp:effectExtent l="0" t="0" r="0" b="0"/>
          <wp:docPr id="1660215750" name="Immagine 4" descr="Immagine che contiene Elementi grafici, grafica, design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99875DD0-3C07-14E0-210B-1F6FBDDA70E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942162" name="Immagine 4" descr="Immagine che contiene Elementi grafici, grafica, design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99875DD0-3C07-14E0-210B-1F6FBDDA70E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568" cy="7064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C231282" w14:textId="77777777" w:rsidR="00C32A07" w:rsidRDefault="00C32A0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58AC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834093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364140"/>
    <w:multiLevelType w:val="singleLevel"/>
    <w:tmpl w:val="C382CA64"/>
    <w:lvl w:ilvl="0">
      <w:numFmt w:val="bullet"/>
      <w:lvlText w:val="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</w:rPr>
    </w:lvl>
  </w:abstractNum>
  <w:abstractNum w:abstractNumId="3" w15:restartNumberingAfterBreak="0">
    <w:nsid w:val="112A3958"/>
    <w:multiLevelType w:val="multilevel"/>
    <w:tmpl w:val="6CCA2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81425"/>
    <w:multiLevelType w:val="hybridMultilevel"/>
    <w:tmpl w:val="056C6FF6"/>
    <w:lvl w:ilvl="0" w:tplc="D1868F16">
      <w:numFmt w:val="bullet"/>
      <w:lvlText w:val="□"/>
      <w:lvlJc w:val="left"/>
      <w:pPr>
        <w:ind w:left="1647" w:hanging="360"/>
      </w:pPr>
      <w:rPr>
        <w:rFonts w:ascii="Verdana" w:eastAsia="Verdana" w:hAnsi="Verdana" w:cs="Verdana" w:hint="default"/>
        <w:w w:val="99"/>
        <w:sz w:val="24"/>
        <w:szCs w:val="24"/>
        <w:lang w:val="it-IT" w:eastAsia="en-US" w:bidi="ar-SA"/>
      </w:rPr>
    </w:lvl>
    <w:lvl w:ilvl="1" w:tplc="E266050A">
      <w:numFmt w:val="bullet"/>
      <w:lvlText w:val="•"/>
      <w:lvlJc w:val="left"/>
      <w:pPr>
        <w:ind w:left="2603" w:hanging="360"/>
      </w:pPr>
      <w:rPr>
        <w:rFonts w:hint="default"/>
        <w:lang w:val="it-IT" w:eastAsia="en-US" w:bidi="ar-SA"/>
      </w:rPr>
    </w:lvl>
    <w:lvl w:ilvl="2" w:tplc="B9661086">
      <w:numFmt w:val="bullet"/>
      <w:lvlText w:val="•"/>
      <w:lvlJc w:val="left"/>
      <w:pPr>
        <w:ind w:left="3556" w:hanging="360"/>
      </w:pPr>
      <w:rPr>
        <w:rFonts w:hint="default"/>
        <w:lang w:val="it-IT" w:eastAsia="en-US" w:bidi="ar-SA"/>
      </w:rPr>
    </w:lvl>
    <w:lvl w:ilvl="3" w:tplc="64127522">
      <w:numFmt w:val="bullet"/>
      <w:lvlText w:val="•"/>
      <w:lvlJc w:val="left"/>
      <w:pPr>
        <w:ind w:left="4508" w:hanging="360"/>
      </w:pPr>
      <w:rPr>
        <w:rFonts w:hint="default"/>
        <w:lang w:val="it-IT" w:eastAsia="en-US" w:bidi="ar-SA"/>
      </w:rPr>
    </w:lvl>
    <w:lvl w:ilvl="4" w:tplc="01B27DF0">
      <w:numFmt w:val="bullet"/>
      <w:lvlText w:val="•"/>
      <w:lvlJc w:val="left"/>
      <w:pPr>
        <w:ind w:left="5461" w:hanging="360"/>
      </w:pPr>
      <w:rPr>
        <w:rFonts w:hint="default"/>
        <w:lang w:val="it-IT" w:eastAsia="en-US" w:bidi="ar-SA"/>
      </w:rPr>
    </w:lvl>
    <w:lvl w:ilvl="5" w:tplc="E03025E0">
      <w:numFmt w:val="bullet"/>
      <w:lvlText w:val="•"/>
      <w:lvlJc w:val="left"/>
      <w:pPr>
        <w:ind w:left="6413" w:hanging="360"/>
      </w:pPr>
      <w:rPr>
        <w:rFonts w:hint="default"/>
        <w:lang w:val="it-IT" w:eastAsia="en-US" w:bidi="ar-SA"/>
      </w:rPr>
    </w:lvl>
    <w:lvl w:ilvl="6" w:tplc="6FC44FEA">
      <w:numFmt w:val="bullet"/>
      <w:lvlText w:val="•"/>
      <w:lvlJc w:val="left"/>
      <w:pPr>
        <w:ind w:left="7366" w:hanging="360"/>
      </w:pPr>
      <w:rPr>
        <w:rFonts w:hint="default"/>
        <w:lang w:val="it-IT" w:eastAsia="en-US" w:bidi="ar-SA"/>
      </w:rPr>
    </w:lvl>
    <w:lvl w:ilvl="7" w:tplc="402A0F00">
      <w:numFmt w:val="bullet"/>
      <w:lvlText w:val="•"/>
      <w:lvlJc w:val="left"/>
      <w:pPr>
        <w:ind w:left="8318" w:hanging="360"/>
      </w:pPr>
      <w:rPr>
        <w:rFonts w:hint="default"/>
        <w:lang w:val="it-IT" w:eastAsia="en-US" w:bidi="ar-SA"/>
      </w:rPr>
    </w:lvl>
    <w:lvl w:ilvl="8" w:tplc="B204E0CC">
      <w:numFmt w:val="bullet"/>
      <w:lvlText w:val="•"/>
      <w:lvlJc w:val="left"/>
      <w:pPr>
        <w:ind w:left="927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EB6401D"/>
    <w:multiLevelType w:val="hybridMultilevel"/>
    <w:tmpl w:val="6EDC6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97BBD"/>
    <w:multiLevelType w:val="multilevel"/>
    <w:tmpl w:val="B716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38584C"/>
    <w:multiLevelType w:val="multilevel"/>
    <w:tmpl w:val="439A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C241AD"/>
    <w:multiLevelType w:val="hybridMultilevel"/>
    <w:tmpl w:val="6EDC60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419CC"/>
    <w:multiLevelType w:val="hybridMultilevel"/>
    <w:tmpl w:val="BA4A49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6134E6"/>
    <w:multiLevelType w:val="multilevel"/>
    <w:tmpl w:val="14AE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4B143B"/>
    <w:multiLevelType w:val="multilevel"/>
    <w:tmpl w:val="9850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8930DE"/>
    <w:multiLevelType w:val="multilevel"/>
    <w:tmpl w:val="CD9C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E50ECF"/>
    <w:multiLevelType w:val="hybridMultilevel"/>
    <w:tmpl w:val="776AB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D69DC"/>
    <w:multiLevelType w:val="singleLevel"/>
    <w:tmpl w:val="C382CA64"/>
    <w:lvl w:ilvl="0">
      <w:numFmt w:val="bullet"/>
      <w:lvlText w:val=""/>
      <w:lvlJc w:val="left"/>
      <w:pPr>
        <w:tabs>
          <w:tab w:val="num" w:pos="375"/>
        </w:tabs>
        <w:ind w:left="375" w:hanging="375"/>
      </w:pPr>
      <w:rPr>
        <w:rFonts w:ascii="Wingdings" w:hAnsi="Wingdings" w:hint="default"/>
      </w:rPr>
    </w:lvl>
  </w:abstractNum>
  <w:abstractNum w:abstractNumId="15" w15:restartNumberingAfterBreak="0">
    <w:nsid w:val="6ECA0886"/>
    <w:multiLevelType w:val="hybridMultilevel"/>
    <w:tmpl w:val="6DC450F6"/>
    <w:lvl w:ilvl="0" w:tplc="EDDA5F10">
      <w:numFmt w:val="bullet"/>
      <w:lvlText w:val="-"/>
      <w:lvlJc w:val="left"/>
      <w:pPr>
        <w:ind w:left="720" w:hanging="360"/>
      </w:pPr>
      <w:rPr>
        <w:rFonts w:ascii="Rockwell" w:eastAsia="Times New Roman" w:hAnsi="Rockwel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46E38"/>
    <w:multiLevelType w:val="multilevel"/>
    <w:tmpl w:val="3D3E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FD3C85"/>
    <w:multiLevelType w:val="hybridMultilevel"/>
    <w:tmpl w:val="74CE8F9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756104">
    <w:abstractNumId w:val="1"/>
  </w:num>
  <w:num w:numId="2" w16cid:durableId="1680425267">
    <w:abstractNumId w:val="0"/>
  </w:num>
  <w:num w:numId="3" w16cid:durableId="193813850">
    <w:abstractNumId w:val="1"/>
  </w:num>
  <w:num w:numId="4" w16cid:durableId="431898552">
    <w:abstractNumId w:val="0"/>
  </w:num>
  <w:num w:numId="5" w16cid:durableId="828129806">
    <w:abstractNumId w:val="1"/>
  </w:num>
  <w:num w:numId="6" w16cid:durableId="1494568322">
    <w:abstractNumId w:val="0"/>
  </w:num>
  <w:num w:numId="7" w16cid:durableId="1066221938">
    <w:abstractNumId w:val="1"/>
  </w:num>
  <w:num w:numId="8" w16cid:durableId="1766343410">
    <w:abstractNumId w:val="0"/>
  </w:num>
  <w:num w:numId="9" w16cid:durableId="308753404">
    <w:abstractNumId w:val="1"/>
  </w:num>
  <w:num w:numId="10" w16cid:durableId="303394160">
    <w:abstractNumId w:val="0"/>
  </w:num>
  <w:num w:numId="11" w16cid:durableId="694579771">
    <w:abstractNumId w:val="1"/>
  </w:num>
  <w:num w:numId="12" w16cid:durableId="20906759">
    <w:abstractNumId w:val="0"/>
  </w:num>
  <w:num w:numId="13" w16cid:durableId="1515220552">
    <w:abstractNumId w:val="14"/>
  </w:num>
  <w:num w:numId="14" w16cid:durableId="343361583">
    <w:abstractNumId w:val="2"/>
  </w:num>
  <w:num w:numId="15" w16cid:durableId="1843740234">
    <w:abstractNumId w:val="13"/>
  </w:num>
  <w:num w:numId="16" w16cid:durableId="1840122560">
    <w:abstractNumId w:val="5"/>
  </w:num>
  <w:num w:numId="17" w16cid:durableId="115833703">
    <w:abstractNumId w:val="17"/>
  </w:num>
  <w:num w:numId="18" w16cid:durableId="1864050101">
    <w:abstractNumId w:val="9"/>
  </w:num>
  <w:num w:numId="19" w16cid:durableId="1216700985">
    <w:abstractNumId w:val="8"/>
  </w:num>
  <w:num w:numId="20" w16cid:durableId="1327901918">
    <w:abstractNumId w:val="10"/>
  </w:num>
  <w:num w:numId="21" w16cid:durableId="800463785">
    <w:abstractNumId w:val="16"/>
  </w:num>
  <w:num w:numId="22" w16cid:durableId="302777764">
    <w:abstractNumId w:val="12"/>
  </w:num>
  <w:num w:numId="23" w16cid:durableId="137890155">
    <w:abstractNumId w:val="15"/>
  </w:num>
  <w:num w:numId="24" w16cid:durableId="566263293">
    <w:abstractNumId w:val="4"/>
  </w:num>
  <w:num w:numId="25" w16cid:durableId="1707635928">
    <w:abstractNumId w:val="3"/>
  </w:num>
  <w:num w:numId="26" w16cid:durableId="674306991">
    <w:abstractNumId w:val="11"/>
  </w:num>
  <w:num w:numId="27" w16cid:durableId="178737071">
    <w:abstractNumId w:val="6"/>
  </w:num>
  <w:num w:numId="28" w16cid:durableId="5299945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397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FC8"/>
    <w:rsid w:val="0000014E"/>
    <w:rsid w:val="00001455"/>
    <w:rsid w:val="000062B3"/>
    <w:rsid w:val="000234F0"/>
    <w:rsid w:val="00053758"/>
    <w:rsid w:val="0006795C"/>
    <w:rsid w:val="00076F20"/>
    <w:rsid w:val="000A7474"/>
    <w:rsid w:val="000E0F35"/>
    <w:rsid w:val="00101885"/>
    <w:rsid w:val="001048D1"/>
    <w:rsid w:val="001164C8"/>
    <w:rsid w:val="00125B4C"/>
    <w:rsid w:val="001300A2"/>
    <w:rsid w:val="00130ED3"/>
    <w:rsid w:val="00153931"/>
    <w:rsid w:val="001706A0"/>
    <w:rsid w:val="00176F68"/>
    <w:rsid w:val="00192C1B"/>
    <w:rsid w:val="001952FC"/>
    <w:rsid w:val="001B087F"/>
    <w:rsid w:val="001B0966"/>
    <w:rsid w:val="001D4B7F"/>
    <w:rsid w:val="001F365F"/>
    <w:rsid w:val="001F7BE6"/>
    <w:rsid w:val="00204567"/>
    <w:rsid w:val="0023063B"/>
    <w:rsid w:val="002471C7"/>
    <w:rsid w:val="0026418A"/>
    <w:rsid w:val="00266975"/>
    <w:rsid w:val="0027256E"/>
    <w:rsid w:val="00272ED9"/>
    <w:rsid w:val="002975B4"/>
    <w:rsid w:val="002C0ECE"/>
    <w:rsid w:val="002C6E51"/>
    <w:rsid w:val="003113F3"/>
    <w:rsid w:val="00327C28"/>
    <w:rsid w:val="00367228"/>
    <w:rsid w:val="00375993"/>
    <w:rsid w:val="00395E35"/>
    <w:rsid w:val="003C4756"/>
    <w:rsid w:val="0041225E"/>
    <w:rsid w:val="00453900"/>
    <w:rsid w:val="00465E1C"/>
    <w:rsid w:val="00476656"/>
    <w:rsid w:val="00487A34"/>
    <w:rsid w:val="0049374C"/>
    <w:rsid w:val="004A015C"/>
    <w:rsid w:val="004B0147"/>
    <w:rsid w:val="00504686"/>
    <w:rsid w:val="00527715"/>
    <w:rsid w:val="00536095"/>
    <w:rsid w:val="00547E39"/>
    <w:rsid w:val="0055386B"/>
    <w:rsid w:val="00561BBA"/>
    <w:rsid w:val="0057540F"/>
    <w:rsid w:val="005803F6"/>
    <w:rsid w:val="00582959"/>
    <w:rsid w:val="005A5B00"/>
    <w:rsid w:val="005B4664"/>
    <w:rsid w:val="005B4EF9"/>
    <w:rsid w:val="005B70BA"/>
    <w:rsid w:val="005C0401"/>
    <w:rsid w:val="005C3BB1"/>
    <w:rsid w:val="005F5A07"/>
    <w:rsid w:val="0060307C"/>
    <w:rsid w:val="00603C38"/>
    <w:rsid w:val="006040C2"/>
    <w:rsid w:val="0062324E"/>
    <w:rsid w:val="0063127E"/>
    <w:rsid w:val="00650D34"/>
    <w:rsid w:val="006551F7"/>
    <w:rsid w:val="00677E49"/>
    <w:rsid w:val="006A0047"/>
    <w:rsid w:val="006D51D2"/>
    <w:rsid w:val="006E031C"/>
    <w:rsid w:val="006F01FB"/>
    <w:rsid w:val="00722AE7"/>
    <w:rsid w:val="00727517"/>
    <w:rsid w:val="00736CDB"/>
    <w:rsid w:val="00742045"/>
    <w:rsid w:val="007531EB"/>
    <w:rsid w:val="007604D6"/>
    <w:rsid w:val="00775BBE"/>
    <w:rsid w:val="007B6C07"/>
    <w:rsid w:val="007C6573"/>
    <w:rsid w:val="00842F8D"/>
    <w:rsid w:val="00843D0E"/>
    <w:rsid w:val="00862CF7"/>
    <w:rsid w:val="00872C0E"/>
    <w:rsid w:val="00880605"/>
    <w:rsid w:val="00881237"/>
    <w:rsid w:val="00885EE9"/>
    <w:rsid w:val="008A72DC"/>
    <w:rsid w:val="008B1100"/>
    <w:rsid w:val="008C246B"/>
    <w:rsid w:val="008F6DC5"/>
    <w:rsid w:val="00955F45"/>
    <w:rsid w:val="0096001E"/>
    <w:rsid w:val="00961D6B"/>
    <w:rsid w:val="00970CDC"/>
    <w:rsid w:val="009954AA"/>
    <w:rsid w:val="009D3415"/>
    <w:rsid w:val="00A33796"/>
    <w:rsid w:val="00A34D19"/>
    <w:rsid w:val="00A37617"/>
    <w:rsid w:val="00A56F52"/>
    <w:rsid w:val="00A7505E"/>
    <w:rsid w:val="00AA3186"/>
    <w:rsid w:val="00AA65BA"/>
    <w:rsid w:val="00AB4E95"/>
    <w:rsid w:val="00AD1173"/>
    <w:rsid w:val="00AD4D70"/>
    <w:rsid w:val="00AE26BD"/>
    <w:rsid w:val="00AE2A53"/>
    <w:rsid w:val="00B145FD"/>
    <w:rsid w:val="00B3584D"/>
    <w:rsid w:val="00B36DF3"/>
    <w:rsid w:val="00B372CD"/>
    <w:rsid w:val="00B55A81"/>
    <w:rsid w:val="00B61AEC"/>
    <w:rsid w:val="00C31917"/>
    <w:rsid w:val="00C32A07"/>
    <w:rsid w:val="00C47045"/>
    <w:rsid w:val="00C57E0C"/>
    <w:rsid w:val="00C77915"/>
    <w:rsid w:val="00CC174B"/>
    <w:rsid w:val="00CE42A6"/>
    <w:rsid w:val="00D015BD"/>
    <w:rsid w:val="00D02FC8"/>
    <w:rsid w:val="00D3684B"/>
    <w:rsid w:val="00D45BF8"/>
    <w:rsid w:val="00D6210B"/>
    <w:rsid w:val="00D77908"/>
    <w:rsid w:val="00D91B51"/>
    <w:rsid w:val="00DC063A"/>
    <w:rsid w:val="00DC6930"/>
    <w:rsid w:val="00E32D36"/>
    <w:rsid w:val="00E55898"/>
    <w:rsid w:val="00E94848"/>
    <w:rsid w:val="00EB48CE"/>
    <w:rsid w:val="00EC4B34"/>
    <w:rsid w:val="00ED702A"/>
    <w:rsid w:val="00ED73F0"/>
    <w:rsid w:val="00EF1DF0"/>
    <w:rsid w:val="00F02574"/>
    <w:rsid w:val="00F03E3E"/>
    <w:rsid w:val="00F349C8"/>
    <w:rsid w:val="00F477BA"/>
    <w:rsid w:val="00F9564E"/>
    <w:rsid w:val="00FA044C"/>
    <w:rsid w:val="00FA24AD"/>
    <w:rsid w:val="00FE258B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EED5A"/>
  <w15:chartTrackingRefBased/>
  <w15:docId w15:val="{C581CAF2-C9ED-4924-9648-7A4FAF4C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ms Rmn" w:hAnsi="Tms Rmn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b/>
      <w:sz w:val="24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before="240" w:after="60"/>
      <w:outlineLvl w:val="3"/>
    </w:pPr>
    <w:rPr>
      <w:b/>
      <w:i/>
      <w:sz w:val="24"/>
    </w:rPr>
  </w:style>
  <w:style w:type="paragraph" w:styleId="Titolo5">
    <w:name w:val="heading 5"/>
    <w:basedOn w:val="Normale"/>
    <w:next w:val="Normale"/>
    <w:qFormat/>
    <w:pPr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qFormat/>
    <w:pPr>
      <w:spacing w:before="240" w:after="60"/>
      <w:outlineLvl w:val="6"/>
    </w:pPr>
    <w:rPr>
      <w:rFonts w:ascii="Arial" w:hAnsi="Arial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rFonts w:ascii="Arial" w:hAnsi="Arial"/>
      <w:i/>
    </w:rPr>
  </w:style>
  <w:style w:type="paragraph" w:styleId="Titolo9">
    <w:name w:val="heading 9"/>
    <w:basedOn w:val="Normale"/>
    <w:next w:val="Normale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Numeropagina">
    <w:name w:val="page number"/>
    <w:basedOn w:val="Carpredefinitoparagrafo"/>
  </w:style>
  <w:style w:type="paragraph" w:styleId="Elenco">
    <w:name w:val="List"/>
    <w:basedOn w:val="Normale"/>
    <w:semiHidden/>
    <w:pPr>
      <w:ind w:left="283" w:hanging="283"/>
    </w:pPr>
  </w:style>
  <w:style w:type="paragraph" w:styleId="Elenco2">
    <w:name w:val="List 2"/>
    <w:basedOn w:val="Normale"/>
    <w:semiHidden/>
    <w:pPr>
      <w:ind w:left="566" w:hanging="283"/>
    </w:pPr>
  </w:style>
  <w:style w:type="paragraph" w:styleId="Elenco3">
    <w:name w:val="List 3"/>
    <w:basedOn w:val="Normale"/>
    <w:semiHidden/>
    <w:pPr>
      <w:ind w:left="849" w:hanging="283"/>
    </w:pPr>
  </w:style>
  <w:style w:type="paragraph" w:styleId="Elenco4">
    <w:name w:val="List 4"/>
    <w:basedOn w:val="Normale"/>
    <w:semiHidden/>
    <w:pPr>
      <w:ind w:left="1132" w:hanging="283"/>
    </w:pPr>
  </w:style>
  <w:style w:type="paragraph" w:styleId="Intestazionemessaggio">
    <w:name w:val="Message Header"/>
    <w:basedOn w:val="Normale"/>
    <w:semiHidden/>
    <w:pPr>
      <w:ind w:left="1134" w:hanging="1134"/>
    </w:pPr>
    <w:rPr>
      <w:rFonts w:ascii="Arial" w:hAnsi="Arial"/>
      <w:sz w:val="24"/>
    </w:rPr>
  </w:style>
  <w:style w:type="paragraph" w:customStyle="1" w:styleId="Saluti">
    <w:name w:val="Saluti"/>
    <w:basedOn w:val="Normale"/>
  </w:style>
  <w:style w:type="paragraph" w:styleId="Puntoelenco">
    <w:name w:val="List Bullet"/>
    <w:basedOn w:val="Normale"/>
    <w:autoRedefine/>
    <w:semiHidden/>
    <w:pPr>
      <w:ind w:left="283" w:hanging="283"/>
    </w:pPr>
  </w:style>
  <w:style w:type="paragraph" w:styleId="Puntoelenco2">
    <w:name w:val="List Bullet 2"/>
    <w:basedOn w:val="Normale"/>
    <w:autoRedefine/>
    <w:semiHidden/>
    <w:pPr>
      <w:ind w:left="566" w:hanging="283"/>
    </w:pPr>
  </w:style>
  <w:style w:type="paragraph" w:customStyle="1" w:styleId="ElencoCc">
    <w:name w:val="Elenco Cc"/>
    <w:basedOn w:val="Normale"/>
  </w:style>
  <w:style w:type="paragraph" w:styleId="Elencocontinua">
    <w:name w:val="List Continue"/>
    <w:basedOn w:val="Normale"/>
    <w:semiHidden/>
    <w:pPr>
      <w:spacing w:after="120"/>
      <w:ind w:left="283"/>
    </w:pPr>
  </w:style>
  <w:style w:type="paragraph" w:customStyle="1" w:styleId="Corpodeltesto">
    <w:name w:val="Corpo del testo"/>
    <w:basedOn w:val="Normale"/>
    <w:semiHidden/>
    <w:pPr>
      <w:spacing w:after="120"/>
    </w:pPr>
  </w:style>
  <w:style w:type="paragraph" w:styleId="Rientrocorpodeltesto">
    <w:name w:val="Body Text Indent"/>
    <w:basedOn w:val="Normale"/>
    <w:semiHidden/>
    <w:pPr>
      <w:spacing w:after="120"/>
      <w:ind w:left="28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6573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7C6573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rsid w:val="00AD4D70"/>
    <w:rPr>
      <w:rFonts w:ascii="Tms Rmn" w:hAnsi="Tms Rmn"/>
      <w:b/>
      <w:i/>
      <w:sz w:val="24"/>
    </w:rPr>
  </w:style>
  <w:style w:type="character" w:customStyle="1" w:styleId="PidipaginaCarattere">
    <w:name w:val="Piè di pagina Carattere"/>
    <w:link w:val="Pidipagina"/>
    <w:uiPriority w:val="99"/>
    <w:rsid w:val="00727517"/>
    <w:rPr>
      <w:rFonts w:ascii="Tms Rmn" w:hAnsi="Tms Rmn"/>
    </w:rPr>
  </w:style>
  <w:style w:type="paragraph" w:styleId="Testodelblocco">
    <w:name w:val="Block Text"/>
    <w:basedOn w:val="Normale"/>
    <w:rsid w:val="00C77915"/>
    <w:pPr>
      <w:shd w:val="clear" w:color="auto" w:fill="E6E6E6"/>
      <w:spacing w:line="360" w:lineRule="auto"/>
      <w:ind w:left="720" w:right="125"/>
      <w:jc w:val="both"/>
    </w:pPr>
    <w:rPr>
      <w:rFonts w:ascii="Arial" w:hAnsi="Arial" w:cs="Arial"/>
      <w:color w:val="333399"/>
      <w:sz w:val="24"/>
      <w:szCs w:val="24"/>
    </w:rPr>
  </w:style>
  <w:style w:type="character" w:customStyle="1" w:styleId="IntestazioneCarattere">
    <w:name w:val="Intestazione Carattere"/>
    <w:link w:val="Intestazione"/>
    <w:rsid w:val="006D51D2"/>
    <w:rPr>
      <w:rFonts w:ascii="Tms Rmn" w:hAnsi="Tms Rmn"/>
    </w:rPr>
  </w:style>
  <w:style w:type="paragraph" w:styleId="Paragrafoelenco">
    <w:name w:val="List Paragraph"/>
    <w:basedOn w:val="Normale"/>
    <w:uiPriority w:val="34"/>
    <w:qFormat/>
    <w:rsid w:val="0020456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5A5B0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A5B00"/>
    <w:rPr>
      <w:rFonts w:ascii="Tms Rmn" w:hAnsi="Tms R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16E44B6484CFB49AA4732177A8466E1" ma:contentTypeVersion="3" ma:contentTypeDescription="Creare un nuovo documento." ma:contentTypeScope="" ma:versionID="3cb8e136e2adfccd318e5e00e87daf34">
  <xsd:schema xmlns:xsd="http://www.w3.org/2001/XMLSchema" xmlns:xs="http://www.w3.org/2001/XMLSchema" xmlns:p="http://schemas.microsoft.com/office/2006/metadata/properties" xmlns:ns2="4bfb47d0-e916-4313-bc1a-f9e5c24f01a1" targetNamespace="http://schemas.microsoft.com/office/2006/metadata/properties" ma:root="true" ma:fieldsID="7d4c7f5ed5531295769f558789e387fc" ns2:_="">
    <xsd:import namespace="4bfb47d0-e916-4313-bc1a-f9e5c24f01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b47d0-e916-4313-bc1a-f9e5c24f0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7D8109-98AE-4B28-99D7-C18DA8B374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C63634-C8B8-4C39-9B7E-16EDCDEBCD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fb47d0-e916-4313-bc1a-f9e5c24f0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4CD880-325C-4957-AAF4-4728468BFB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MY ADVISOR SRL S.B.</vt:lpstr>
    </vt:vector>
  </TitlesOfParts>
  <Company>MY ADVISOR SRL S.B.</Company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ADVISOR SRL S.B.</dc:title>
  <dc:subject/>
  <dc:creator>MY ADVISOR SRL S.B.</dc:creator>
  <cp:keywords/>
  <cp:lastModifiedBy>Irene Grosso</cp:lastModifiedBy>
  <cp:revision>44</cp:revision>
  <cp:lastPrinted>2016-02-10T10:19:00Z</cp:lastPrinted>
  <dcterms:created xsi:type="dcterms:W3CDTF">2023-01-01T14:55:00Z</dcterms:created>
  <dcterms:modified xsi:type="dcterms:W3CDTF">2026-01-15T06:18:00Z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0x010100016E44B6484CFB49AA4732177A8466E1</vt:lpwstr>
  </property>
  <property fmtid="{D5CDD505-2E9C-101B-9397-08002B2CF9AE}" pid="3" name="Order">
    <vt:r8>41500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